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536FF" w14:textId="1324F83C" w:rsidR="00426621" w:rsidRPr="00AC6352" w:rsidRDefault="00426621" w:rsidP="00426621">
      <w:pPr>
        <w:rPr>
          <w:rFonts w:hint="eastAsia"/>
          <w:b/>
          <w:lang w:eastAsia="ko-KR"/>
        </w:rPr>
      </w:pPr>
      <w:bookmarkStart w:id="0" w:name="_Hlk117841894"/>
      <w:bookmarkStart w:id="1" w:name="_Hlk145670493"/>
      <w:r w:rsidRPr="00AC6352">
        <w:rPr>
          <w:b/>
        </w:rPr>
        <w:t>3</w:t>
      </w:r>
      <w:bookmarkStart w:id="2" w:name="_Ref158906132"/>
      <w:bookmarkEnd w:id="2"/>
      <w:r w:rsidRPr="00AC6352">
        <w:rPr>
          <w:b/>
        </w:rPr>
        <w:t>GPP TSG RAN WG1 #1</w:t>
      </w:r>
      <w:r>
        <w:rPr>
          <w:rFonts w:hint="eastAsia"/>
          <w:b/>
          <w:lang w:eastAsia="ko-KR"/>
        </w:rPr>
        <w:t>24</w:t>
      </w:r>
      <w:r w:rsidRPr="00AC6352">
        <w:rPr>
          <w:b/>
        </w:rPr>
        <w:t xml:space="preserve">                                                                            </w:t>
      </w:r>
      <w:r>
        <w:rPr>
          <w:b/>
          <w:bCs/>
        </w:rPr>
        <w:t xml:space="preserve">                        </w:t>
      </w:r>
      <w:r w:rsidRPr="00AC6352">
        <w:rPr>
          <w:b/>
        </w:rPr>
        <w:t>R1-</w:t>
      </w:r>
      <w:r w:rsidRPr="00AC6352">
        <w:rPr>
          <w:b/>
          <w:bCs/>
        </w:rPr>
        <w:t>2</w:t>
      </w:r>
      <w:r>
        <w:rPr>
          <w:rFonts w:hint="eastAsia"/>
          <w:b/>
          <w:bCs/>
          <w:lang w:eastAsia="ko-KR"/>
        </w:rPr>
        <w:t>6008</w:t>
      </w:r>
      <w:r>
        <w:rPr>
          <w:rFonts w:hint="eastAsia"/>
          <w:b/>
          <w:bCs/>
          <w:lang w:eastAsia="ko-KR"/>
        </w:rPr>
        <w:t>80</w:t>
      </w:r>
    </w:p>
    <w:p w14:paraId="37C6959E" w14:textId="18625BB2" w:rsidR="00F04C42" w:rsidRPr="00AC6352" w:rsidRDefault="00426621" w:rsidP="00E25422">
      <w:pPr>
        <w:rPr>
          <w:b/>
          <w:lang w:eastAsia="ko-KR"/>
        </w:rPr>
      </w:pPr>
      <w:r w:rsidRPr="00546D3D">
        <w:rPr>
          <w:b/>
          <w:bCs/>
          <w:lang w:eastAsia="ko-KR"/>
        </w:rPr>
        <w:t>Göteborg</w:t>
      </w:r>
      <w:r w:rsidRPr="00A66AE6">
        <w:rPr>
          <w:b/>
          <w:bCs/>
        </w:rPr>
        <w:t xml:space="preserve">, </w:t>
      </w:r>
      <w:r>
        <w:rPr>
          <w:rFonts w:hint="eastAsia"/>
          <w:b/>
          <w:bCs/>
          <w:lang w:eastAsia="ko-KR"/>
        </w:rPr>
        <w:t>Sweden</w:t>
      </w:r>
      <w:r w:rsidRPr="00A66AE6">
        <w:rPr>
          <w:b/>
          <w:bCs/>
        </w:rPr>
        <w:t xml:space="preserve">, </w:t>
      </w:r>
      <w:r>
        <w:rPr>
          <w:rFonts w:hint="eastAsia"/>
          <w:b/>
          <w:bCs/>
          <w:lang w:eastAsia="ko-KR"/>
        </w:rPr>
        <w:t>Feb.</w:t>
      </w:r>
      <w:r w:rsidRPr="00A66AE6">
        <w:rPr>
          <w:b/>
          <w:bCs/>
        </w:rPr>
        <w:t xml:space="preserve"> </w:t>
      </w:r>
      <w:r>
        <w:rPr>
          <w:rFonts w:hint="eastAsia"/>
          <w:b/>
          <w:bCs/>
          <w:lang w:eastAsia="ko-KR"/>
        </w:rPr>
        <w:t>9</w:t>
      </w:r>
      <w:r w:rsidRPr="00BC155E">
        <w:rPr>
          <w:b/>
          <w:bCs/>
          <w:vertAlign w:val="superscript"/>
        </w:rPr>
        <w:t>th</w:t>
      </w:r>
      <w:r>
        <w:rPr>
          <w:b/>
          <w:bCs/>
        </w:rPr>
        <w:t xml:space="preserve"> </w:t>
      </w:r>
      <w:r w:rsidRPr="00A66AE6">
        <w:rPr>
          <w:b/>
          <w:bCs/>
        </w:rPr>
        <w:t xml:space="preserve">– </w:t>
      </w:r>
      <w:r>
        <w:rPr>
          <w:rFonts w:hint="eastAsia"/>
          <w:b/>
          <w:bCs/>
          <w:lang w:eastAsia="ko-KR"/>
        </w:rPr>
        <w:t>Feb.</w:t>
      </w:r>
      <w:r w:rsidRPr="00A66AE6">
        <w:rPr>
          <w:b/>
          <w:bCs/>
        </w:rPr>
        <w:t xml:space="preserve"> </w:t>
      </w:r>
      <w:r>
        <w:rPr>
          <w:rFonts w:hint="eastAsia"/>
          <w:b/>
          <w:bCs/>
          <w:lang w:eastAsia="ko-KR"/>
        </w:rPr>
        <w:t>13</w:t>
      </w:r>
      <w:r>
        <w:rPr>
          <w:rFonts w:hint="eastAsia"/>
          <w:b/>
          <w:bCs/>
          <w:vertAlign w:val="superscript"/>
          <w:lang w:eastAsia="ko-KR"/>
        </w:rPr>
        <w:t>th</w:t>
      </w:r>
      <w:r w:rsidRPr="00A66AE6">
        <w:rPr>
          <w:b/>
          <w:bCs/>
        </w:rPr>
        <w:t>, 202</w:t>
      </w:r>
      <w:r>
        <w:rPr>
          <w:rFonts w:hint="eastAsia"/>
          <w:b/>
          <w:bCs/>
          <w:lang w:eastAsia="ko-KR"/>
        </w:rPr>
        <w:t>6</w:t>
      </w:r>
    </w:p>
    <w:bookmarkEnd w:id="1"/>
    <w:p w14:paraId="5866ADC8" w14:textId="77777777" w:rsidR="00F04C42" w:rsidRPr="00216176" w:rsidRDefault="00F04C42" w:rsidP="00E25422">
      <w:pPr>
        <w:rPr>
          <w:lang w:val="en-US"/>
        </w:rPr>
      </w:pPr>
    </w:p>
    <w:p w14:paraId="392574CB" w14:textId="219BC653" w:rsidR="00841851" w:rsidRPr="00841851" w:rsidRDefault="00841851" w:rsidP="00E25422">
      <w:pPr>
        <w:rPr>
          <w:rFonts w:hint="eastAsia"/>
          <w:lang w:eastAsia="ko-KR"/>
        </w:rPr>
      </w:pPr>
      <w:r w:rsidRPr="00AC6352">
        <w:rPr>
          <w:b/>
        </w:rPr>
        <w:t>Agenda item:</w:t>
      </w:r>
      <w:r w:rsidRPr="00841851">
        <w:tab/>
      </w:r>
      <w:r w:rsidR="00BD7C71">
        <w:tab/>
      </w:r>
      <w:r w:rsidR="008E5120">
        <w:rPr>
          <w:rFonts w:hint="eastAsia"/>
          <w:lang w:eastAsia="ko-KR"/>
        </w:rPr>
        <w:t>10</w:t>
      </w:r>
      <w:r>
        <w:t>.</w:t>
      </w:r>
      <w:r w:rsidR="00426621">
        <w:rPr>
          <w:rFonts w:hint="eastAsia"/>
          <w:lang w:eastAsia="ko-KR"/>
        </w:rPr>
        <w:t>5</w:t>
      </w:r>
      <w:r>
        <w:t>.</w:t>
      </w:r>
      <w:r w:rsidR="00426621">
        <w:rPr>
          <w:rFonts w:hint="eastAsia"/>
          <w:lang w:eastAsia="ko-KR"/>
        </w:rPr>
        <w:t>3</w:t>
      </w:r>
      <w:r>
        <w:t>.</w:t>
      </w:r>
      <w:r w:rsidR="00426621">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41200F19" w:rsidR="00841851" w:rsidRPr="00841851" w:rsidRDefault="00841851" w:rsidP="00E25422">
      <w:pPr>
        <w:rPr>
          <w:rFonts w:hint="eastAsia"/>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426621">
        <w:rPr>
          <w:rFonts w:hint="eastAsia"/>
          <w:lang w:eastAsia="ko-KR"/>
        </w:rPr>
        <w:t>aspects of downlink-based CSI acquisition</w:t>
      </w:r>
    </w:p>
    <w:p w14:paraId="0207A98F" w14:textId="05EFF958" w:rsidR="00841851" w:rsidRPr="00841851" w:rsidRDefault="00841851" w:rsidP="00E25422">
      <w:r w:rsidRPr="00841851">
        <w:rPr>
          <w:b/>
        </w:rPr>
        <w:t>Document for:</w:t>
      </w:r>
      <w:r w:rsidRPr="00841851">
        <w:tab/>
      </w:r>
      <w:r w:rsidRPr="00841851">
        <w:tab/>
        <w:t>Discussion</w:t>
      </w:r>
    </w:p>
    <w:p w14:paraId="763DD7BF" w14:textId="77777777" w:rsidR="00841851" w:rsidRPr="00F04C42" w:rsidRDefault="00841851" w:rsidP="00E25422"/>
    <w:p w14:paraId="10E74E9F" w14:textId="77777777" w:rsidR="00436E8E" w:rsidRDefault="00436E8E" w:rsidP="00436E8E">
      <w:pPr>
        <w:pStyle w:val="Heading1"/>
      </w:pPr>
      <w:bookmarkStart w:id="3" w:name="_Ref163224089"/>
      <w:bookmarkEnd w:id="0"/>
      <w:r>
        <w:t>Introduction</w:t>
      </w:r>
      <w:bookmarkEnd w:id="3"/>
    </w:p>
    <w:p w14:paraId="6727A3CA" w14:textId="77777777" w:rsidR="00F62D39" w:rsidRPr="00F62D39" w:rsidRDefault="00F62D39" w:rsidP="00F62D39">
      <w:pPr>
        <w:spacing w:after="160" w:line="259" w:lineRule="auto"/>
        <w:rPr>
          <w:lang w:val="en-US"/>
        </w:rPr>
      </w:pPr>
      <w:r w:rsidRPr="00F62D39">
        <w:rPr>
          <w:lang w:val="en-US"/>
        </w:rPr>
        <w:t xml:space="preserve">At RAN#108, a Study Item on “6G RAN” was approved [1], initiating work on key technology components and design principles for a next-generation radio access system. CSI acquisition and reporting are fundamental aspects of this work, especially under scenarios with large antenna dimensions, increased spatial degrees of freedom, and more dynamic propagation conditions. As antenna scaling progresses, conventional CSI frameworks face increasing challenges in feedback overhead, UE processing complexity, and practical </w:t>
      </w:r>
      <w:proofErr w:type="spellStart"/>
      <w:r w:rsidRPr="00F62D39">
        <w:rPr>
          <w:lang w:val="en-US"/>
        </w:rPr>
        <w:t>deployability</w:t>
      </w:r>
      <w:proofErr w:type="spellEnd"/>
      <w:r w:rsidRPr="00F62D39">
        <w:rPr>
          <w:lang w:val="en-US"/>
        </w:rPr>
        <w:t>.</w:t>
      </w:r>
    </w:p>
    <w:p w14:paraId="76C37BD5" w14:textId="77777777" w:rsidR="00F62D39" w:rsidRPr="00F62D39" w:rsidRDefault="00F62D39" w:rsidP="00F62D39">
      <w:pPr>
        <w:spacing w:after="160" w:line="259" w:lineRule="auto"/>
        <w:rPr>
          <w:lang w:val="en-US"/>
        </w:rPr>
      </w:pPr>
      <w:r w:rsidRPr="00F62D39">
        <w:rPr>
          <w:lang w:val="en-US"/>
        </w:rPr>
        <w:t>Existing CSI designs are largely based on precoding matrix–oriented representations and codebook structures tailored to specific antenna configurations. However, practical deployment experience indicates that enhanced CSI mechanisms, such as high-resolution Type II codebooks, have seen limited commercialization due to complexity and overhead constraints. This motivates further study on CSI design that jointly considers performance, UE implementation aspects, and deployment practicality.</w:t>
      </w:r>
    </w:p>
    <w:p w14:paraId="44729975" w14:textId="77777777" w:rsidR="00F62D39" w:rsidRPr="00F62D39" w:rsidRDefault="00F62D39" w:rsidP="00F62D39">
      <w:pPr>
        <w:spacing w:after="160" w:line="259" w:lineRule="auto"/>
        <w:rPr>
          <w:lang w:val="en-US"/>
        </w:rPr>
      </w:pPr>
      <w:r w:rsidRPr="00F62D39">
        <w:rPr>
          <w:lang w:val="en-US"/>
        </w:rPr>
        <w:t>In addition, channel analysis indicates that representing the precoding or channel matrix in the angular-delay domain results in a sparse magnitude structure. This property can be leveraged to improve target CSI representation and formatting efficiency. Therefore, it is relevant to study alternative target CSI types, domain representations, and unified codebook frameworks that better match channel characteristics and antenna scaling trends.</w:t>
      </w:r>
    </w:p>
    <w:p w14:paraId="7B75F9BD" w14:textId="77777777" w:rsidR="00F62D39" w:rsidRPr="00F62D39" w:rsidRDefault="00F62D39" w:rsidP="00F62D39">
      <w:pPr>
        <w:spacing w:after="160" w:line="259" w:lineRule="auto"/>
        <w:rPr>
          <w:lang w:val="en-US"/>
        </w:rPr>
      </w:pPr>
      <w:r w:rsidRPr="00F62D39">
        <w:rPr>
          <w:lang w:val="en-US"/>
        </w:rPr>
        <w:t>This contribution provides observations on CSI structure and proposes study directions on: suitability of target CSI types as antenna dimensions scale, feasibility of angular-delay domain representation for efficient CSI formatting, limiting factors in commercialization of enhanced Type II codebooks, a unified CSI codebook framework combining higher resolution with improved practicality, and CSI design trade-offs between UE complexity, feedback overhead, and downlink performance gains.</w:t>
      </w:r>
    </w:p>
    <w:p w14:paraId="0A43EE94" w14:textId="77777777" w:rsidR="00F62D39" w:rsidRPr="00D858BF" w:rsidRDefault="00F62D39" w:rsidP="00F62D39">
      <w:pPr>
        <w:spacing w:after="160" w:line="259" w:lineRule="auto"/>
        <w:rPr>
          <w:lang w:val="en-US"/>
        </w:rPr>
      </w:pPr>
    </w:p>
    <w:p w14:paraId="72ECBF94" w14:textId="7E7D07BA" w:rsidR="00CC5AD7" w:rsidRDefault="00CC5AD7">
      <w:pPr>
        <w:spacing w:after="160" w:line="259" w:lineRule="auto"/>
        <w:jc w:val="left"/>
      </w:pPr>
    </w:p>
    <w:p w14:paraId="50C383C0" w14:textId="20CD4567" w:rsidR="00F81843" w:rsidRDefault="006C5F48" w:rsidP="00BC24FC">
      <w:pPr>
        <w:pStyle w:val="Heading1"/>
      </w:pPr>
      <w:r>
        <w:rPr>
          <w:rFonts w:hint="eastAsia"/>
          <w:lang w:eastAsia="ko-KR"/>
        </w:rPr>
        <w:t xml:space="preserve">Target CSI type: </w:t>
      </w:r>
      <w:r>
        <w:rPr>
          <w:lang w:eastAsia="ko-KR"/>
        </w:rPr>
        <w:t>channel</w:t>
      </w:r>
      <w:r>
        <w:rPr>
          <w:rFonts w:hint="eastAsia"/>
          <w:lang w:eastAsia="ko-KR"/>
        </w:rPr>
        <w:t xml:space="preserve"> matrix</w:t>
      </w:r>
    </w:p>
    <w:p w14:paraId="77138B5C" w14:textId="18899DBB" w:rsidR="0067306F" w:rsidRPr="0067306F" w:rsidRDefault="0067306F" w:rsidP="0067306F">
      <w:pPr>
        <w:rPr>
          <w:lang w:val="en-US" w:eastAsia="ko-KR"/>
        </w:rPr>
      </w:pPr>
      <w:r w:rsidRPr="0067306F">
        <w:rPr>
          <w:lang w:val="en-US" w:eastAsia="ko-KR"/>
        </w:rPr>
        <w:t xml:space="preserve">The precoding matrix has been the primary target CSI type in NR. This approach assumes that the UE derives a suitable precoding matrix based on measured channel information and reports it to the network. As antenna dimensions scale, deriving a precoding matrix at the UE may impose significant computational </w:t>
      </w:r>
      <w:r w:rsidRPr="0067306F">
        <w:rPr>
          <w:lang w:val="en-US" w:eastAsia="ko-KR"/>
        </w:rPr>
        <w:lastRenderedPageBreak/>
        <w:t xml:space="preserve">burden. In particular, as the number of CSI-RS ports increases to large values (e.g., beyond 128 ports), the UE typically computes the precoding matrix via singular value decomposition, often by forming a Gram matrix </w:t>
      </w:r>
      <m:oMath>
        <m:r>
          <m:rPr>
            <m:sty m:val="b"/>
          </m:rPr>
          <w:rPr>
            <w:rFonts w:ascii="Cambria Math" w:hAnsi="Cambria Math"/>
            <w:lang w:val="en-US" w:eastAsia="ko-KR"/>
          </w:rPr>
          <m:t>G</m:t>
        </m:r>
        <m:r>
          <w:rPr>
            <w:rFonts w:ascii="Cambria Math" w:hAnsi="Cambria Math"/>
            <w:lang w:val="en-US" w:eastAsia="ko-KR"/>
          </w:rPr>
          <m:t>=</m:t>
        </m:r>
        <m:sSup>
          <m:sSupPr>
            <m:ctrlPr>
              <w:rPr>
                <w:rFonts w:ascii="Cambria Math" w:hAnsi="Cambria Math"/>
                <w:lang w:val="en-US" w:eastAsia="ko-KR"/>
              </w:rPr>
            </m:ctrlPr>
          </m:sSupPr>
          <m:e>
            <m:r>
              <m:rPr>
                <m:sty m:val="b"/>
              </m:rPr>
              <w:rPr>
                <w:rFonts w:ascii="Cambria Math" w:hAnsi="Cambria Math"/>
                <w:lang w:val="en-US" w:eastAsia="ko-KR"/>
              </w:rPr>
              <m:t>H</m:t>
            </m:r>
          </m:e>
          <m:sup>
            <m:r>
              <w:rPr>
                <w:rFonts w:ascii="Cambria Math" w:hAnsi="Cambria Math"/>
                <w:lang w:val="en-US" w:eastAsia="ko-KR"/>
              </w:rPr>
              <m:t>H</m:t>
            </m:r>
          </m:sup>
        </m:sSup>
        <m:r>
          <m:rPr>
            <m:sty m:val="b"/>
          </m:rPr>
          <w:rPr>
            <w:rFonts w:ascii="Cambria Math" w:hAnsi="Cambria Math"/>
            <w:lang w:val="en-US" w:eastAsia="ko-KR"/>
          </w:rPr>
          <m:t>H</m:t>
        </m:r>
        <m:r>
          <w:rPr>
            <w:rFonts w:ascii="Cambria Math" w:hAnsi="Cambria Math"/>
            <w:lang w:val="en-US" w:eastAsia="ko-KR"/>
          </w:rPr>
          <m:t>∈</m:t>
        </m:r>
        <m:sSup>
          <m:sSupPr>
            <m:ctrlPr>
              <w:rPr>
                <w:rFonts w:ascii="Cambria Math" w:hAnsi="Cambria Math"/>
                <w:lang w:val="en-US" w:eastAsia="ko-KR"/>
              </w:rPr>
            </m:ctrlPr>
          </m:sSupPr>
          <m:e>
            <m:r>
              <m:rPr>
                <m:scr m:val="double-struck"/>
                <m:sty m:val="p"/>
              </m:rPr>
              <w:rPr>
                <w:rFonts w:ascii="Cambria Math" w:hAnsi="Cambria Math"/>
                <w:lang w:val="en-US" w:eastAsia="ko-KR"/>
              </w:rPr>
              <m:t>C</m:t>
            </m:r>
          </m:e>
          <m:sup>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t</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t</m:t>
                </m:r>
              </m:sub>
            </m:sSub>
          </m:sup>
        </m:sSup>
      </m:oMath>
      <w:r w:rsidRPr="0067306F">
        <w:rPr>
          <w:lang w:val="en-US" w:eastAsia="ko-KR"/>
        </w:rPr>
        <w:t xml:space="preserve">, followed by eigen decomposition. The complexity of this process grows rapidly with antenna dimension, with Gram matrix formation scaling on the order of </w:t>
      </w:r>
      <m:oMath>
        <m:r>
          <m:rPr>
            <m:scr m:val="script"/>
          </m:rPr>
          <w:rPr>
            <w:rFonts w:ascii="Cambria Math" w:hAnsi="Cambria Math"/>
            <w:lang w:val="en-US" w:eastAsia="ko-KR"/>
          </w:rPr>
          <m:t>O(</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r</m:t>
            </m:r>
          </m:sub>
        </m:sSub>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t</m:t>
            </m:r>
          </m:sub>
          <m:sup>
            <m:r>
              <w:rPr>
                <w:rFonts w:ascii="Cambria Math" w:hAnsi="Cambria Math"/>
                <w:lang w:val="en-US" w:eastAsia="ko-KR"/>
              </w:rPr>
              <m:t>2</m:t>
            </m:r>
          </m:sup>
        </m:sSubSup>
        <m:r>
          <w:rPr>
            <w:rFonts w:ascii="Cambria Math" w:hAnsi="Cambria Math"/>
            <w:lang w:val="en-US" w:eastAsia="ko-KR"/>
          </w:rPr>
          <m:t>)</m:t>
        </m:r>
      </m:oMath>
      <w:r>
        <w:rPr>
          <w:rFonts w:hint="eastAsia"/>
          <w:lang w:val="en-US" w:eastAsia="ko-KR"/>
        </w:rPr>
        <w:t xml:space="preserve"> </w:t>
      </w:r>
      <w:r w:rsidRPr="0067306F">
        <w:rPr>
          <w:lang w:val="en-US" w:eastAsia="ko-KR"/>
        </w:rPr>
        <w:t xml:space="preserve">and eigen decomposition scaling on the order of </w:t>
      </w:r>
      <m:oMath>
        <m:r>
          <m:rPr>
            <m:scr m:val="script"/>
          </m:rPr>
          <w:rPr>
            <w:rFonts w:ascii="Cambria Math" w:hAnsi="Cambria Math"/>
            <w:lang w:val="en-US" w:eastAsia="ko-KR"/>
          </w:rPr>
          <m:t>O(</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t</m:t>
            </m:r>
          </m:sub>
          <m:sup>
            <m:r>
              <w:rPr>
                <w:rFonts w:ascii="Cambria Math" w:hAnsi="Cambria Math"/>
                <w:lang w:val="en-US" w:eastAsia="ko-KR"/>
              </w:rPr>
              <m:t>3</m:t>
            </m:r>
          </m:sup>
        </m:sSubSup>
        <m:r>
          <w:rPr>
            <w:rFonts w:ascii="Cambria Math" w:hAnsi="Cambria Math"/>
            <w:lang w:val="en-US" w:eastAsia="ko-KR"/>
          </w:rPr>
          <m:t>)</m:t>
        </m:r>
      </m:oMath>
      <w:r w:rsidRPr="0067306F">
        <w:rPr>
          <w:lang w:val="en-US" w:eastAsia="ko-KR"/>
        </w:rPr>
        <w:t xml:space="preserve">, which becomes dominant for large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t</m:t>
            </m:r>
          </m:sub>
        </m:sSub>
      </m:oMath>
      <w:r w:rsidRPr="0067306F">
        <w:rPr>
          <w:lang w:val="en-US" w:eastAsia="ko-KR"/>
        </w:rPr>
        <w:t>. When such operations are required per subband, the overall computational burden further increases, potentially making UE-side precoding matrix derivation prohibitive in very large antenna configurations.</w:t>
      </w:r>
    </w:p>
    <w:p w14:paraId="59C9FD0C" w14:textId="071EC79E" w:rsidR="0067306F" w:rsidRPr="00524928" w:rsidRDefault="0067306F" w:rsidP="00524928">
      <w:pPr>
        <w:rPr>
          <w:lang w:eastAsia="ko-KR"/>
        </w:rPr>
      </w:pPr>
      <w:r w:rsidRPr="0067306F">
        <w:rPr>
          <w:lang w:val="en-US" w:eastAsia="ko-KR"/>
        </w:rPr>
        <w:t>In addition, in TDD systems, the channel matrix itself may be more suitable as a target CSI type. When uplink SRS is available, the channel matrix can be jointly exploited for downlink channel acquisition, potentially reducing reliance on explicit UE-side precoding matrix derivation and enabling more efficient use of uplink and downlink measurements. These considerations suggest that the choice of target CSI type may influence the practicality of CSI acquisition as systems evolve toward larger antenna arrays.</w:t>
      </w:r>
    </w:p>
    <w:p w14:paraId="2B96D54C" w14:textId="17B58E15" w:rsidR="00524928" w:rsidRPr="00524928" w:rsidRDefault="00524928" w:rsidP="00524928">
      <w:pPr>
        <w:pStyle w:val="Proposal"/>
        <w:tabs>
          <w:tab w:val="clear" w:pos="1701"/>
        </w:tabs>
        <w:overflowPunct/>
        <w:autoSpaceDE/>
        <w:autoSpaceDN/>
        <w:adjustRightInd/>
        <w:spacing w:after="180"/>
        <w:ind w:left="1276" w:hanging="1276"/>
        <w:jc w:val="left"/>
        <w:textAlignment w:val="auto"/>
        <w:rPr>
          <w:lang w:val="en-US" w:eastAsia="ko-KR"/>
        </w:rPr>
      </w:pPr>
      <w:r w:rsidRPr="00CE164E">
        <w:rPr>
          <w:rFonts w:eastAsia="맑은 고딕" w:hint="eastAsia"/>
          <w:lang w:val="en-US" w:eastAsia="ko-KR"/>
        </w:rPr>
        <w:t>S</w:t>
      </w:r>
      <w:r>
        <w:rPr>
          <w:rFonts w:eastAsia="맑은 고딕" w:hint="eastAsia"/>
          <w:lang w:val="en-US" w:eastAsia="ko-KR"/>
        </w:rPr>
        <w:t>tudy the suitability of the target CSI type, including the channel matrix as an alternative to the precoding matrix, for practical CSI acquisition as antenna dimension scale</w:t>
      </w:r>
      <w:r w:rsidR="00DF7667">
        <w:rPr>
          <w:rFonts w:eastAsia="맑은 고딕" w:hint="eastAsia"/>
          <w:lang w:val="en-US" w:eastAsia="ko-KR"/>
        </w:rPr>
        <w:t>.</w:t>
      </w:r>
    </w:p>
    <w:p w14:paraId="63024C00" w14:textId="77777777" w:rsidR="0067306F" w:rsidRPr="008F3BD6" w:rsidRDefault="0067306F" w:rsidP="0067306F">
      <w:pPr>
        <w:rPr>
          <w:lang w:val="en-US" w:eastAsia="ko-KR"/>
        </w:rPr>
      </w:pPr>
      <w:r w:rsidRPr="008F3BD6">
        <w:rPr>
          <w:lang w:eastAsia="ko-KR"/>
        </w:rPr>
        <w:t>Target CSI can be represented in different domains, such as spatial–frequency or angular–delay. Conversion to the angular–delay domain reveals the inherent sparsity, where most entries</w:t>
      </w:r>
      <w:r>
        <w:rPr>
          <w:rFonts w:hint="eastAsia"/>
          <w:lang w:eastAsia="ko-KR"/>
        </w:rPr>
        <w:t xml:space="preserve"> in the precoding or channel matrix</w:t>
      </w:r>
      <w:r w:rsidRPr="008F3BD6">
        <w:rPr>
          <w:lang w:eastAsia="ko-KR"/>
        </w:rPr>
        <w:t xml:space="preserve"> are near zero and only a limited number carry significant energy. </w:t>
      </w:r>
      <w:r w:rsidRPr="002C58FB">
        <w:rPr>
          <w:lang w:eastAsia="ko-KR"/>
        </w:rPr>
        <w:t xml:space="preserve">This </w:t>
      </w:r>
      <w:proofErr w:type="spellStart"/>
      <w:r w:rsidRPr="002C58FB">
        <w:rPr>
          <w:lang w:eastAsia="ko-KR"/>
        </w:rPr>
        <w:t>behavior</w:t>
      </w:r>
      <w:proofErr w:type="spellEnd"/>
      <w:r w:rsidRPr="002C58FB">
        <w:rPr>
          <w:lang w:eastAsia="ko-KR"/>
        </w:rPr>
        <w:t xml:space="preserve"> is illustrated in Figure 1, which shows the cumulative distribution function (CDF) of entry magnitudes for a CDL-C channel, normalized such that the values range from 0 to 1.</w:t>
      </w:r>
      <w:r>
        <w:rPr>
          <w:rFonts w:hint="eastAsia"/>
          <w:lang w:eastAsia="ko-KR"/>
        </w:rPr>
        <w:t xml:space="preserve"> </w:t>
      </w:r>
      <w:r w:rsidRPr="008F3BD6">
        <w:rPr>
          <w:lang w:eastAsia="ko-KR"/>
        </w:rPr>
        <w:t>In the spatial–frequency domain, the magnitudes are broadly similar across entries, indicating limited variability. In contrast, in the angular–delay domain, about 90% of the entries have normalized magnitude below 0.1, while only around 10% exhibit larger values. Since the magnitude distribution directly reflects the information criticality of different entries, representing the target CSI in the angular–delay domain provides a more structured basis for target CSI formatting by leveraging sparsity, thereby enabling reduced overhead without compromising accuracy.</w:t>
      </w:r>
    </w:p>
    <w:p w14:paraId="6A2A8679" w14:textId="77777777" w:rsidR="0067306F" w:rsidRDefault="0067306F" w:rsidP="0067306F">
      <w:pPr>
        <w:keepNext/>
        <w:jc w:val="center"/>
      </w:pPr>
      <w:r>
        <w:rPr>
          <w:noProof/>
          <w:lang w:eastAsia="ko-KR"/>
        </w:rPr>
        <w:drawing>
          <wp:inline distT="0" distB="0" distL="0" distR="0" wp14:anchorId="7045A803" wp14:editId="7509F3AA">
            <wp:extent cx="3600000" cy="2466813"/>
            <wp:effectExtent l="0" t="0" r="635" b="0"/>
            <wp:docPr id="241042825" name="그림 79" descr="텍스트, 라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42825" name="그림 79" descr="텍스트, 라인, 그래프, 도표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66813"/>
                    </a:xfrm>
                    <a:prstGeom prst="rect">
                      <a:avLst/>
                    </a:prstGeom>
                    <a:noFill/>
                  </pic:spPr>
                </pic:pic>
              </a:graphicData>
            </a:graphic>
          </wp:inline>
        </w:drawing>
      </w:r>
    </w:p>
    <w:p w14:paraId="7C75AE10" w14:textId="77777777" w:rsidR="0067306F" w:rsidRDefault="0067306F" w:rsidP="0067306F">
      <w:pPr>
        <w:pStyle w:val="Caption"/>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CDF of normalized entry magnitudes in spatial-</w:t>
      </w:r>
      <w:proofErr w:type="spellStart"/>
      <w:r>
        <w:rPr>
          <w:rFonts w:hint="eastAsia"/>
          <w:lang w:eastAsia="ko-KR"/>
        </w:rPr>
        <w:t>subband</w:t>
      </w:r>
      <w:proofErr w:type="spellEnd"/>
      <w:r>
        <w:rPr>
          <w:rFonts w:hint="eastAsia"/>
          <w:lang w:eastAsia="ko-KR"/>
        </w:rPr>
        <w:t xml:space="preserve"> and angular-delay domains (CDL-C channel)</w:t>
      </w:r>
    </w:p>
    <w:p w14:paraId="49A3A169" w14:textId="77777777" w:rsidR="0067306F" w:rsidRPr="00B45F63" w:rsidRDefault="0067306F" w:rsidP="0067306F">
      <w:pPr>
        <w:pStyle w:val="Observation"/>
        <w:numPr>
          <w:ilvl w:val="0"/>
          <w:numId w:val="18"/>
        </w:numPr>
        <w:ind w:left="1418" w:hanging="1418"/>
        <w:rPr>
          <w:lang w:val="en-US" w:eastAsia="ko-KR"/>
        </w:rPr>
      </w:pPr>
      <w:r w:rsidRPr="00216D0E">
        <w:rPr>
          <w:rFonts w:hint="eastAsia"/>
          <w:lang w:val="en-US" w:eastAsia="ko-KR"/>
        </w:rPr>
        <w:t>Representing the precoding or channel matrix in the angular-delay domain reveals a sparse magnitude distribution, which offers potential overhead reduction for target CSI formatting</w:t>
      </w:r>
      <w:r w:rsidRPr="00216D0E">
        <w:rPr>
          <w:lang w:val="en-US"/>
        </w:rPr>
        <w:t>.</w:t>
      </w:r>
    </w:p>
    <w:p w14:paraId="1C766974" w14:textId="6E895C6F" w:rsidR="0067306F" w:rsidRPr="0067306F" w:rsidRDefault="0067306F" w:rsidP="0067306F">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lastRenderedPageBreak/>
        <w:t>Study the feasibility of representing the target CSI in the angular-delay domain, considering whether its sparse structure can enable more efficient target CSI formatting and potential overhead reduction.</w:t>
      </w:r>
    </w:p>
    <w:p w14:paraId="59B72B3B" w14:textId="77777777" w:rsidR="0067306F" w:rsidRPr="0067306F" w:rsidRDefault="0067306F" w:rsidP="001E66AF">
      <w:pPr>
        <w:rPr>
          <w:lang w:val="en-US" w:eastAsia="ko-KR"/>
        </w:rPr>
      </w:pPr>
    </w:p>
    <w:p w14:paraId="13440215" w14:textId="7167C869" w:rsidR="0086385D" w:rsidRDefault="0086385D" w:rsidP="0086385D">
      <w:pPr>
        <w:pStyle w:val="Heading1"/>
      </w:pPr>
      <w:r>
        <w:rPr>
          <w:rFonts w:hint="eastAsia"/>
          <w:lang w:eastAsia="ko-KR"/>
        </w:rPr>
        <w:t>Codebook design</w:t>
      </w:r>
    </w:p>
    <w:p w14:paraId="385E6242" w14:textId="0C07D4D1" w:rsidR="00982E59" w:rsidRPr="00982E59" w:rsidRDefault="00982E59" w:rsidP="00982E59">
      <w:pPr>
        <w:rPr>
          <w:lang w:val="en-US" w:eastAsia="ko-KR"/>
        </w:rPr>
      </w:pPr>
      <w:r w:rsidRPr="00982E59">
        <w:rPr>
          <w:lang w:val="en-US" w:eastAsia="ko-KR"/>
        </w:rPr>
        <w:t xml:space="preserve">NR specifies multiple </w:t>
      </w:r>
      <w:r w:rsidR="00FC1FC9">
        <w:rPr>
          <w:rFonts w:hint="eastAsia"/>
          <w:lang w:val="en-US" w:eastAsia="ko-KR"/>
        </w:rPr>
        <w:t>c</w:t>
      </w:r>
      <w:r w:rsidR="00FC1FC9">
        <w:rPr>
          <w:lang w:val="en-US" w:eastAsia="ko-KR"/>
        </w:rPr>
        <w:t>odebook</w:t>
      </w:r>
      <w:r w:rsidRPr="00982E59">
        <w:rPr>
          <w:lang w:val="en-US" w:eastAsia="ko-KR"/>
        </w:rPr>
        <w:t xml:space="preserve">s to support diverse scenarios. Among them, enhanced Type II codebooks provide higher resolution and accuracy compared to Type I </w:t>
      </w:r>
      <w:r>
        <w:rPr>
          <w:rFonts w:hint="eastAsia"/>
          <w:lang w:val="en-US" w:eastAsia="ko-KR"/>
        </w:rPr>
        <w:t xml:space="preserve">(Single-Panel) </w:t>
      </w:r>
      <w:r w:rsidRPr="00982E59">
        <w:rPr>
          <w:lang w:val="en-US" w:eastAsia="ko-KR"/>
        </w:rPr>
        <w:t>codebooks, but their commercialization has remained limited.</w:t>
      </w:r>
    </w:p>
    <w:p w14:paraId="17EC3D25" w14:textId="46BF8ED2" w:rsidR="00982E59" w:rsidRPr="00982E59" w:rsidRDefault="00982E59" w:rsidP="00982E59">
      <w:pPr>
        <w:rPr>
          <w:lang w:val="en-US" w:eastAsia="ko-KR"/>
        </w:rPr>
      </w:pPr>
      <w:r w:rsidRPr="00982E59">
        <w:rPr>
          <w:lang w:eastAsia="ko-KR"/>
        </w:rPr>
        <w:t>The root causes of this limited adoption are not clearly identified. Potential factors include increased UE implementation complexity, uplink CSI feedback overhead, and other practical deployment considerations.</w:t>
      </w:r>
    </w:p>
    <w:p w14:paraId="5CF26CA3" w14:textId="096F8305" w:rsidR="00982E59" w:rsidRPr="00982E59" w:rsidRDefault="00982E59" w:rsidP="00982E59">
      <w:pPr>
        <w:rPr>
          <w:lang w:val="en-US" w:eastAsia="ko-KR"/>
        </w:rPr>
      </w:pPr>
      <w:r w:rsidRPr="00982E59">
        <w:rPr>
          <w:lang w:val="en-US" w:eastAsia="ko-KR"/>
        </w:rPr>
        <w:t xml:space="preserve">Without understanding which factors dominate in practice, future </w:t>
      </w:r>
      <w:r w:rsidR="00FC1FC9">
        <w:rPr>
          <w:rFonts w:hint="eastAsia"/>
          <w:lang w:val="en-US" w:eastAsia="ko-KR"/>
        </w:rPr>
        <w:t>c</w:t>
      </w:r>
      <w:r w:rsidR="00FC1FC9">
        <w:rPr>
          <w:lang w:val="en-US" w:eastAsia="ko-KR"/>
        </w:rPr>
        <w:t>odebook</w:t>
      </w:r>
      <w:r w:rsidRPr="00982E59">
        <w:rPr>
          <w:lang w:val="en-US" w:eastAsia="ko-KR"/>
        </w:rPr>
        <w:t xml:space="preserve"> designs risk repeating similar limitations. In particular, further proliferation of distinct codebooks may increase fragmentation without ensuring broad deployment.</w:t>
      </w:r>
    </w:p>
    <w:p w14:paraId="5B3E8BE5" w14:textId="77777777" w:rsidR="00982E59" w:rsidRPr="00982E59" w:rsidRDefault="00982E59" w:rsidP="00FC1FC9">
      <w:pPr>
        <w:rPr>
          <w:lang w:val="en-US" w:eastAsia="ko-KR"/>
        </w:rPr>
      </w:pPr>
      <w:r w:rsidRPr="00982E59">
        <w:rPr>
          <w:lang w:val="en-US" w:eastAsia="ko-KR"/>
        </w:rPr>
        <w:t>Identifying the root causes of limited enhanced Type II commercialization is therefore an important step toward defining a scalable and practical codebook design for future systems.</w:t>
      </w:r>
    </w:p>
    <w:p w14:paraId="14AC2468" w14:textId="1A9A7B63" w:rsidR="00FC1FC9" w:rsidRPr="0067306F" w:rsidRDefault="00FC1FC9" w:rsidP="00FC1FC9">
      <w:pPr>
        <w:pStyle w:val="Proposal"/>
        <w:tabs>
          <w:tab w:val="clear" w:pos="1701"/>
        </w:tabs>
        <w:overflowPunct/>
        <w:autoSpaceDE/>
        <w:autoSpaceDN/>
        <w:adjustRightInd/>
        <w:spacing w:after="180"/>
        <w:ind w:left="1276" w:hanging="1276"/>
        <w:textAlignment w:val="auto"/>
        <w:rPr>
          <w:lang w:val="en-US"/>
        </w:rPr>
      </w:pPr>
      <w:r w:rsidRPr="00FC1FC9">
        <w:rPr>
          <w:rFonts w:eastAsia="맑은 고딕"/>
          <w:lang w:eastAsia="ko-KR"/>
        </w:rPr>
        <w:t xml:space="preserve">Study the dominant factors limiting the commercialization of enhanced Type II codebooks and </w:t>
      </w:r>
      <w:r>
        <w:rPr>
          <w:rFonts w:eastAsia="맑은 고딕" w:hint="eastAsia"/>
          <w:lang w:eastAsia="ko-KR"/>
        </w:rPr>
        <w:t>how these factors should be reflected</w:t>
      </w:r>
      <w:r w:rsidRPr="00FC1FC9">
        <w:rPr>
          <w:rFonts w:eastAsia="맑은 고딕"/>
          <w:lang w:eastAsia="ko-KR"/>
        </w:rPr>
        <w:t xml:space="preserve"> </w:t>
      </w:r>
      <w:r>
        <w:rPr>
          <w:rFonts w:eastAsia="맑은 고딕" w:hint="eastAsia"/>
          <w:lang w:eastAsia="ko-KR"/>
        </w:rPr>
        <w:t xml:space="preserve">in 6G </w:t>
      </w:r>
      <w:r w:rsidRPr="00FC1FC9">
        <w:rPr>
          <w:rFonts w:eastAsia="맑은 고딕"/>
          <w:lang w:eastAsia="ko-KR"/>
        </w:rPr>
        <w:t>codebook design.</w:t>
      </w:r>
    </w:p>
    <w:p w14:paraId="0CA76237" w14:textId="77777777" w:rsidR="00524928" w:rsidRPr="00FC1FC9" w:rsidRDefault="00524928" w:rsidP="001E66AF">
      <w:pPr>
        <w:rPr>
          <w:lang w:val="en-US" w:eastAsia="ko-KR"/>
        </w:rPr>
      </w:pPr>
    </w:p>
    <w:p w14:paraId="2BC23C2F" w14:textId="72EB29B6" w:rsidR="00F8051E" w:rsidRDefault="00F8051E" w:rsidP="001E66AF">
      <w:pPr>
        <w:rPr>
          <w:lang w:eastAsia="ko-KR"/>
        </w:rPr>
      </w:pPr>
      <w:r w:rsidRPr="00F8051E">
        <w:rPr>
          <w:lang w:eastAsia="ko-KR"/>
        </w:rPr>
        <w:t>NR experience indicates that specifying multiple distinct CSI codebooks does not necessarily lead to broad commercialization and may instead increase fragmentation in implementation and deployment. While enhanced Type II codebooks provide significantly higher CSI resolution than Type I (single-panel) codebooks, their adoption has been limited, suggesting that existing designs may not sufficiently address practical constraints. As systems evolve toward larger antenna arrays and more diverse deployment scenarios, further proliferation of separate codebooks risks increasing UE and network complexity without ensuring consistent adoption. A unified CSI codebook framework that builds upon the higher-resolution capability of enhanced Type II codebooks, while explicitly addressing the factors that have limited their commercialization, may therefore be worth studying for future systems.</w:t>
      </w:r>
    </w:p>
    <w:p w14:paraId="547DE7D7" w14:textId="5B4B0A62" w:rsidR="00F8051E" w:rsidRPr="0067306F" w:rsidRDefault="00F8051E" w:rsidP="00F8051E">
      <w:pPr>
        <w:pStyle w:val="Proposal"/>
        <w:tabs>
          <w:tab w:val="clear" w:pos="1701"/>
        </w:tabs>
        <w:overflowPunct/>
        <w:autoSpaceDE/>
        <w:autoSpaceDN/>
        <w:adjustRightInd/>
        <w:spacing w:after="180"/>
        <w:ind w:left="1276" w:hanging="1276"/>
        <w:textAlignment w:val="auto"/>
        <w:rPr>
          <w:lang w:val="en-US"/>
        </w:rPr>
      </w:pPr>
      <w:r w:rsidRPr="00F8051E">
        <w:rPr>
          <w:rFonts w:eastAsia="맑은 고딕"/>
          <w:lang w:eastAsia="ko-KR"/>
        </w:rPr>
        <w:t>Study a unified CSI codebook framework that leverages the higher-resolution capability of enhanced Type II codebooks while addressing the factors that have limited their commercialization.</w:t>
      </w:r>
    </w:p>
    <w:p w14:paraId="2E7380C5" w14:textId="2ABE4477" w:rsidR="00DD53F9" w:rsidRDefault="002E28CD" w:rsidP="001E66AF">
      <w:pPr>
        <w:rPr>
          <w:lang w:eastAsia="ko-KR"/>
        </w:rPr>
      </w:pPr>
      <w:r w:rsidRPr="002E28CD">
        <w:rPr>
          <w:lang w:eastAsia="ko-KR"/>
        </w:rPr>
        <w:t>From an operator perspective, experience from 5G deployments indicates that physical resource block utilization is often relatively low, depending on deployment and traffic conditions. This suggests that, in certain scenarios, additional uplink resources for CSI reporting may be affordable if they lead to meaningful improvements in downlink performance. In this context, overly constraining CSI design to minimize feedback overhead may not always align with operational priorities. Instead, it may be beneficial to consider a balanced approach that avoids unnecessary complexity in codebook design for overhead reduction, while focusing on improving practical implement ability and overall system performance.</w:t>
      </w:r>
    </w:p>
    <w:p w14:paraId="7C5DF26A" w14:textId="3E34DD9B" w:rsidR="002E28CD" w:rsidRPr="0067306F" w:rsidRDefault="002E28CD" w:rsidP="002E28CD">
      <w:pPr>
        <w:pStyle w:val="Proposal"/>
        <w:tabs>
          <w:tab w:val="clear" w:pos="1701"/>
        </w:tabs>
        <w:overflowPunct/>
        <w:autoSpaceDE/>
        <w:autoSpaceDN/>
        <w:adjustRightInd/>
        <w:spacing w:after="180"/>
        <w:ind w:left="1276" w:hanging="1276"/>
        <w:textAlignment w:val="auto"/>
        <w:rPr>
          <w:lang w:val="en-US"/>
        </w:rPr>
      </w:pPr>
      <w:r w:rsidRPr="002E28CD">
        <w:rPr>
          <w:rFonts w:eastAsia="맑은 고딕"/>
          <w:lang w:eastAsia="ko-KR"/>
        </w:rPr>
        <w:t>Study CSI design trade-offs that balance UE implementation complexity and feedback overhead, considering operator experience that additional resource usage may be acceptable when it leads to meaningful downlink performance gains.</w:t>
      </w:r>
      <w:r>
        <w:rPr>
          <w:rFonts w:eastAsia="맑은 고딕" w:hint="eastAsia"/>
          <w:lang w:eastAsia="ko-KR"/>
        </w:rPr>
        <w:t xml:space="preserve"> </w:t>
      </w:r>
    </w:p>
    <w:p w14:paraId="7D08940D" w14:textId="77777777" w:rsidR="002E28CD" w:rsidRPr="002E28CD" w:rsidRDefault="002E28CD" w:rsidP="001E66AF">
      <w:pPr>
        <w:rPr>
          <w:lang w:val="en-US" w:eastAsia="ko-KR"/>
        </w:rPr>
      </w:pPr>
    </w:p>
    <w:p w14:paraId="1A06D05B" w14:textId="6658F074" w:rsidR="00A32F07" w:rsidRDefault="00606A69" w:rsidP="00B540C6">
      <w:pPr>
        <w:pStyle w:val="Heading1"/>
      </w:pPr>
      <w:r>
        <w:rPr>
          <w:rFonts w:hint="eastAsia"/>
          <w:lang w:eastAsia="ko-KR"/>
        </w:rPr>
        <w:lastRenderedPageBreak/>
        <w:t>Network-side data collection for AI/ML-based CSI processing</w:t>
      </w:r>
    </w:p>
    <w:p w14:paraId="67732AD1" w14:textId="77777777" w:rsidR="008C00C8" w:rsidRPr="008C00C8" w:rsidRDefault="008C00C8" w:rsidP="008C00C8">
      <w:r w:rsidRPr="008C00C8">
        <w:t>AI/ML-based CSI processing at the network side relies on data-driven model training, where model performance is highly dependent on the quality and fidelity of the collected data. To ensure reliable training and inference, the CSI information used as training data needs to represent the underlying channel characteristics as accurately as possible across deployment scenarios.</w:t>
      </w:r>
    </w:p>
    <w:p w14:paraId="483E7841" w14:textId="77777777" w:rsidR="008C00C8" w:rsidRPr="008C00C8" w:rsidRDefault="008C00C8" w:rsidP="008C00C8">
      <w:r w:rsidRPr="008C00C8">
        <w:t>Experience from 5G AI/ML-based CSI compression work showed that enhanced Type II codebooks were not sufficient to achieve the CSI reconstruction accuracy required for AI/ML model training and inference. As a result, scalar quantization-based approaches were adopted, where precoding matrix entries are quantized on an entry-wise basis. Due to their ability to provide higher-fidelity CSI representation, such scalar quantization-based schemes can be considered a suitable baseline in 6G for supporting the accuracy requirements of AI/ML-based network-side CSI processing.</w:t>
      </w:r>
    </w:p>
    <w:p w14:paraId="7D315BD9" w14:textId="1C5C6EF0" w:rsidR="008C00C8" w:rsidRPr="0067306F" w:rsidRDefault="008C00C8" w:rsidP="008C00C8">
      <w:pPr>
        <w:pStyle w:val="Proposal"/>
        <w:tabs>
          <w:tab w:val="clear" w:pos="1701"/>
        </w:tabs>
        <w:overflowPunct/>
        <w:autoSpaceDE/>
        <w:autoSpaceDN/>
        <w:adjustRightInd/>
        <w:spacing w:after="180"/>
        <w:ind w:left="1276" w:hanging="1276"/>
        <w:textAlignment w:val="auto"/>
        <w:rPr>
          <w:lang w:val="en-US"/>
        </w:rPr>
      </w:pPr>
      <w:r w:rsidRPr="008C00C8">
        <w:rPr>
          <w:rFonts w:eastAsia="맑은 고딕"/>
          <w:lang w:eastAsia="ko-KR"/>
        </w:rPr>
        <w:t>Study the use of scalar quantization-based CSI reporting as a baseline approach in 6G to support the accuracy requirements of AI/ML-based network-side model training.</w:t>
      </w:r>
    </w:p>
    <w:p w14:paraId="3C7374D1" w14:textId="75C28C47" w:rsidR="008C00C8" w:rsidRPr="008C00C8" w:rsidRDefault="008C00C8" w:rsidP="008C00C8">
      <w:r w:rsidRPr="008C00C8">
        <w:t xml:space="preserve">However, the amount of CSI data required for AI/ML model training at the network side is expected to be very large, since model performance generally improves with increased training data volume and diversity. As a result, CSI reporting for data collection may occupy a non-negligible portion of uplink radio resources over extended periods. From </w:t>
      </w:r>
      <w:r>
        <w:rPr>
          <w:rFonts w:hint="eastAsia"/>
          <w:lang w:eastAsia="ko-KR"/>
        </w:rPr>
        <w:t>an operator</w:t>
      </w:r>
      <w:r>
        <w:rPr>
          <w:lang w:eastAsia="ko-KR"/>
        </w:rPr>
        <w:t>’</w:t>
      </w:r>
      <w:r>
        <w:rPr>
          <w:rFonts w:hint="eastAsia"/>
          <w:lang w:eastAsia="ko-KR"/>
        </w:rPr>
        <w:t>s perspective</w:t>
      </w:r>
      <w:r w:rsidRPr="008C00C8">
        <w:t>, this raises the need to carefully consider the efficiency of CSI reporting schemes used for AI/ML purposes, as these resources share the same spectrum used for regular service transmission.</w:t>
      </w:r>
    </w:p>
    <w:p w14:paraId="368A50F9" w14:textId="7C6E2893" w:rsidR="008C00C8" w:rsidRPr="00606A69" w:rsidRDefault="008C00C8" w:rsidP="00606A69">
      <w:r w:rsidRPr="008C00C8">
        <w:t>Therefore, it is necessary to study whether the scalar quantization-based baseline can be further improved in terms of reporting efficiency, while maintaining the accuracy required for AI/ML model performance. This includes investigating CSI representations and reporting schemes that better reflect the intrinsic characteristics of the channel. In particular, it is relevant to examine whether certain representations can capture structural properties of CSI</w:t>
      </w:r>
      <w:r w:rsidR="009A311A">
        <w:rPr>
          <w:rFonts w:hint="eastAsia"/>
          <w:lang w:eastAsia="ko-KR"/>
        </w:rPr>
        <w:t xml:space="preserve"> such as sparsity</w:t>
      </w:r>
      <w:r w:rsidRPr="008C00C8">
        <w:t xml:space="preserve">, and how such characteristics may be utilized to reduce the amount of reported information compared to </w:t>
      </w:r>
      <w:r w:rsidR="009A311A">
        <w:rPr>
          <w:rFonts w:hint="eastAsia"/>
          <w:lang w:eastAsia="ko-KR"/>
        </w:rPr>
        <w:t>scalar quantization-based approach adopted in 5G AI/ML-based CSI compression</w:t>
      </w:r>
      <w:r w:rsidRPr="008C00C8">
        <w:t>.</w:t>
      </w:r>
    </w:p>
    <w:p w14:paraId="45D93868" w14:textId="2F6D10C8" w:rsidR="009A311A" w:rsidRPr="0067306F" w:rsidRDefault="00D055F2" w:rsidP="009A311A">
      <w:pPr>
        <w:pStyle w:val="Proposal"/>
        <w:tabs>
          <w:tab w:val="clear" w:pos="1701"/>
        </w:tabs>
        <w:overflowPunct/>
        <w:autoSpaceDE/>
        <w:autoSpaceDN/>
        <w:adjustRightInd/>
        <w:spacing w:after="180"/>
        <w:ind w:left="1276" w:hanging="1276"/>
        <w:textAlignment w:val="auto"/>
        <w:rPr>
          <w:lang w:val="en-US"/>
        </w:rPr>
      </w:pPr>
      <w:r w:rsidRPr="00D055F2">
        <w:rPr>
          <w:rFonts w:eastAsia="맑은 고딕"/>
          <w:lang w:eastAsia="ko-KR"/>
        </w:rPr>
        <w:t>Study ways to reduce scalar quantization overhead while preserving AI/ML model accuracy</w:t>
      </w:r>
      <w:r w:rsidR="009A311A" w:rsidRPr="008C00C8">
        <w:rPr>
          <w:rFonts w:eastAsia="맑은 고딕"/>
          <w:lang w:eastAsia="ko-KR"/>
        </w:rPr>
        <w:t>.</w:t>
      </w:r>
    </w:p>
    <w:p w14:paraId="28A89188" w14:textId="77777777" w:rsidR="00606A69" w:rsidRPr="00606A69" w:rsidRDefault="00606A69" w:rsidP="00F14CB7"/>
    <w:p w14:paraId="71ADDD70" w14:textId="77777777" w:rsidR="00606A69" w:rsidRDefault="00606A69" w:rsidP="00F14CB7"/>
    <w:p w14:paraId="5EF47BE8" w14:textId="77777777" w:rsidR="00606A69" w:rsidRPr="00CE3910" w:rsidRDefault="00606A69" w:rsidP="00606A69">
      <w:pPr>
        <w:pStyle w:val="Proposal"/>
        <w:numPr>
          <w:ilvl w:val="0"/>
          <w:numId w:val="0"/>
        </w:numPr>
        <w:tabs>
          <w:tab w:val="clear" w:pos="1701"/>
        </w:tabs>
        <w:overflowPunct/>
        <w:autoSpaceDE/>
        <w:autoSpaceDN/>
        <w:adjustRightInd/>
        <w:spacing w:after="180"/>
        <w:jc w:val="left"/>
        <w:textAlignment w:val="auto"/>
        <w:rPr>
          <w:rFonts w:hint="eastAsia"/>
          <w:lang w:val="en-US" w:eastAsia="ko-KR"/>
        </w:rPr>
      </w:pPr>
    </w:p>
    <w:p w14:paraId="1550FF8F" w14:textId="77777777" w:rsidR="00606A69" w:rsidRDefault="00606A69" w:rsidP="00606A69">
      <w:pPr>
        <w:pStyle w:val="Heading1"/>
      </w:pPr>
      <w:r>
        <w:t>Conclusions</w:t>
      </w:r>
    </w:p>
    <w:p w14:paraId="301FB316" w14:textId="77777777" w:rsidR="00AA0AA3" w:rsidRPr="00F14CB7" w:rsidRDefault="00AA0AA3" w:rsidP="00AA0AA3">
      <w:pPr>
        <w:rPr>
          <w:lang w:eastAsia="ko-KR"/>
        </w:rPr>
      </w:pPr>
      <w:r>
        <w:t>We have the following observations:</w:t>
      </w:r>
    </w:p>
    <w:p w14:paraId="4B261ED2" w14:textId="77777777" w:rsidR="00AA0AA3" w:rsidRPr="001F593D" w:rsidRDefault="00AA0AA3" w:rsidP="00AA0AA3">
      <w:pPr>
        <w:pStyle w:val="Observation"/>
        <w:numPr>
          <w:ilvl w:val="0"/>
          <w:numId w:val="32"/>
        </w:numPr>
        <w:ind w:left="1418" w:hanging="1418"/>
        <w:rPr>
          <w:lang w:eastAsia="ko-KR"/>
        </w:rPr>
      </w:pPr>
      <w:r w:rsidRPr="00216D0E">
        <w:rPr>
          <w:rFonts w:hint="eastAsia"/>
          <w:lang w:val="en-US" w:eastAsia="ko-KR"/>
        </w:rPr>
        <w:t>Representing the precoding or channel matrix in the angular-delay domain reveals a sparse magnitude distribution, which offers potential overhead reduction for target CSI formatting</w:t>
      </w:r>
      <w:r w:rsidRPr="00216D0E">
        <w:rPr>
          <w:lang w:val="en-US"/>
        </w:rPr>
        <w:t>.</w:t>
      </w:r>
    </w:p>
    <w:p w14:paraId="1079313D" w14:textId="77777777" w:rsidR="00AA0AA3" w:rsidRPr="00F14CB7" w:rsidRDefault="00AA0AA3" w:rsidP="00AA0AA3">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1462A790" w14:textId="77777777" w:rsidR="00AA0AA3" w:rsidRPr="00DF7667"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CE164E">
        <w:rPr>
          <w:rFonts w:eastAsia="맑은 고딕" w:hint="eastAsia"/>
          <w:lang w:val="en-US" w:eastAsia="ko-KR"/>
        </w:rPr>
        <w:lastRenderedPageBreak/>
        <w:t>S</w:t>
      </w:r>
      <w:r>
        <w:rPr>
          <w:rFonts w:eastAsia="맑은 고딕" w:hint="eastAsia"/>
          <w:lang w:val="en-US" w:eastAsia="ko-KR"/>
        </w:rPr>
        <w:t>tudy the suitability of the target CSI type, including the channel matrix as an alternative to the precoding matrix, for practical CSI acquisition as antenna dimension scale.</w:t>
      </w:r>
    </w:p>
    <w:p w14:paraId="27C2EDD8" w14:textId="77777777" w:rsidR="00AA0AA3" w:rsidRPr="00DF7667"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Study the feasibility of representing the target CSI in the angular-delay domain, considering whether its sparse structure can enable more efficient target CSI formatting and potential overhead reduction.</w:t>
      </w:r>
    </w:p>
    <w:p w14:paraId="7C2B4996" w14:textId="77777777" w:rsidR="00AA0AA3" w:rsidRPr="00DF7667"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FC1FC9">
        <w:rPr>
          <w:rFonts w:eastAsia="맑은 고딕"/>
          <w:lang w:eastAsia="ko-KR"/>
        </w:rPr>
        <w:t xml:space="preserve">Study the dominant factors limiting the commercialization of enhanced Type II codebooks and </w:t>
      </w:r>
      <w:r>
        <w:rPr>
          <w:rFonts w:eastAsia="맑은 고딕" w:hint="eastAsia"/>
          <w:lang w:eastAsia="ko-KR"/>
        </w:rPr>
        <w:t>how these factors should be reflected</w:t>
      </w:r>
      <w:r w:rsidRPr="00FC1FC9">
        <w:rPr>
          <w:rFonts w:eastAsia="맑은 고딕"/>
          <w:lang w:eastAsia="ko-KR"/>
        </w:rPr>
        <w:t xml:space="preserve"> </w:t>
      </w:r>
      <w:r>
        <w:rPr>
          <w:rFonts w:eastAsia="맑은 고딕" w:hint="eastAsia"/>
          <w:lang w:eastAsia="ko-KR"/>
        </w:rPr>
        <w:t xml:space="preserve">in 6G </w:t>
      </w:r>
      <w:r w:rsidRPr="00FC1FC9">
        <w:rPr>
          <w:rFonts w:eastAsia="맑은 고딕"/>
          <w:lang w:eastAsia="ko-KR"/>
        </w:rPr>
        <w:t>codebook design.</w:t>
      </w:r>
    </w:p>
    <w:p w14:paraId="23B302B2" w14:textId="77777777" w:rsidR="00AA0AA3" w:rsidRPr="00CE3910"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F8051E">
        <w:rPr>
          <w:rFonts w:eastAsia="맑은 고딕"/>
          <w:lang w:eastAsia="ko-KR"/>
        </w:rPr>
        <w:t>Study a unified CSI codebook framework that leverages the higher-resolution capability of enhanced Type II codebooks while addressing the factors that have limited their commercialization.</w:t>
      </w:r>
    </w:p>
    <w:p w14:paraId="257B1C3D" w14:textId="77777777" w:rsidR="00AA0AA3" w:rsidRPr="00606A69"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2E28CD">
        <w:rPr>
          <w:rFonts w:eastAsia="맑은 고딕"/>
          <w:lang w:eastAsia="ko-KR"/>
        </w:rPr>
        <w:t>Study CSI design trade-offs that balance UE implementation complexity and feedback overhead, considering operator experience that additional resource usage may be acceptable when it leads to meaningful downlink performance gains.</w:t>
      </w:r>
    </w:p>
    <w:p w14:paraId="7EF72520" w14:textId="77777777" w:rsidR="00AA0AA3" w:rsidRPr="00606A69"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8C00C8">
        <w:rPr>
          <w:rFonts w:eastAsia="맑은 고딕"/>
          <w:lang w:eastAsia="ko-KR"/>
        </w:rPr>
        <w:t>Study the use of scalar quantization-based CSI reporting as a baseline approach in 6G to support the accuracy requirements of AI/ML-based network-side model training.</w:t>
      </w:r>
    </w:p>
    <w:p w14:paraId="6A583C13" w14:textId="77777777" w:rsidR="00AA0AA3" w:rsidRPr="00606A69" w:rsidRDefault="00AA0AA3" w:rsidP="00AA0AA3">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D055F2">
        <w:rPr>
          <w:rFonts w:eastAsia="맑은 고딕"/>
          <w:lang w:eastAsia="ko-KR"/>
        </w:rPr>
        <w:t>Study ways to reduce scalar quantization overhead while preserving AI/ML model accuracy</w:t>
      </w:r>
      <w:r w:rsidRPr="008C00C8">
        <w:rPr>
          <w:rFonts w:eastAsia="맑은 고딕"/>
          <w:lang w:eastAsia="ko-KR"/>
        </w:rPr>
        <w:t>.</w:t>
      </w:r>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rsidSect="008D2F70">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9457" w14:textId="77777777" w:rsidR="001A4A04" w:rsidRDefault="001A4A04" w:rsidP="00E25422">
      <w:r>
        <w:separator/>
      </w:r>
    </w:p>
  </w:endnote>
  <w:endnote w:type="continuationSeparator" w:id="0">
    <w:p w14:paraId="0C1EF595" w14:textId="77777777" w:rsidR="001A4A04" w:rsidRDefault="001A4A04" w:rsidP="00E25422">
      <w:r>
        <w:continuationSeparator/>
      </w:r>
    </w:p>
  </w:endnote>
  <w:endnote w:type="continuationNotice" w:id="1">
    <w:p w14:paraId="53731B5A" w14:textId="77777777" w:rsidR="001A4A04" w:rsidRDefault="001A4A04"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5546" w14:textId="77777777" w:rsidR="001A4A04" w:rsidRDefault="001A4A04" w:rsidP="00E25422">
      <w:r>
        <w:separator/>
      </w:r>
    </w:p>
  </w:footnote>
  <w:footnote w:type="continuationSeparator" w:id="0">
    <w:p w14:paraId="0DDD87FC" w14:textId="77777777" w:rsidR="001A4A04" w:rsidRDefault="001A4A04" w:rsidP="00E25422">
      <w:r>
        <w:continuationSeparator/>
      </w:r>
    </w:p>
  </w:footnote>
  <w:footnote w:type="continuationNotice" w:id="1">
    <w:p w14:paraId="22ACBD19" w14:textId="77777777" w:rsidR="001A4A04" w:rsidRDefault="001A4A04"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4A7D"/>
    <w:multiLevelType w:val="multilevel"/>
    <w:tmpl w:val="DFD0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5"/>
  </w:num>
  <w:num w:numId="3" w16cid:durableId="1298684348">
    <w:abstractNumId w:val="12"/>
  </w:num>
  <w:num w:numId="4" w16cid:durableId="1793590254">
    <w:abstractNumId w:val="0"/>
  </w:num>
  <w:num w:numId="5" w16cid:durableId="1595631558">
    <w:abstractNumId w:val="27"/>
  </w:num>
  <w:num w:numId="6" w16cid:durableId="765266608">
    <w:abstractNumId w:val="19"/>
  </w:num>
  <w:num w:numId="7" w16cid:durableId="1638875240">
    <w:abstractNumId w:val="2"/>
  </w:num>
  <w:num w:numId="8" w16cid:durableId="456800822">
    <w:abstractNumId w:val="5"/>
  </w:num>
  <w:num w:numId="9" w16cid:durableId="242685548">
    <w:abstractNumId w:val="21"/>
  </w:num>
  <w:num w:numId="10" w16cid:durableId="978804571">
    <w:abstractNumId w:val="26"/>
  </w:num>
  <w:num w:numId="11" w16cid:durableId="1336109641">
    <w:abstractNumId w:val="11"/>
  </w:num>
  <w:num w:numId="12" w16cid:durableId="1454901824">
    <w:abstractNumId w:val="4"/>
  </w:num>
  <w:num w:numId="13" w16cid:durableId="100032340">
    <w:abstractNumId w:val="25"/>
  </w:num>
  <w:num w:numId="14" w16cid:durableId="1739816344">
    <w:abstractNumId w:val="29"/>
  </w:num>
  <w:num w:numId="15" w16cid:durableId="940335112">
    <w:abstractNumId w:val="18"/>
  </w:num>
  <w:num w:numId="16" w16cid:durableId="1759133550">
    <w:abstractNumId w:val="8"/>
  </w:num>
  <w:num w:numId="17" w16cid:durableId="1460761153">
    <w:abstractNumId w:val="17"/>
  </w:num>
  <w:num w:numId="18" w16cid:durableId="885988888">
    <w:abstractNumId w:val="15"/>
    <w:lvlOverride w:ilvl="0">
      <w:startOverride w:val="1"/>
    </w:lvlOverride>
  </w:num>
  <w:num w:numId="19" w16cid:durableId="1058550759">
    <w:abstractNumId w:val="20"/>
  </w:num>
  <w:num w:numId="20" w16cid:durableId="922301570">
    <w:abstractNumId w:val="10"/>
  </w:num>
  <w:num w:numId="21" w16cid:durableId="831456898">
    <w:abstractNumId w:val="16"/>
  </w:num>
  <w:num w:numId="22" w16cid:durableId="964040319">
    <w:abstractNumId w:val="13"/>
  </w:num>
  <w:num w:numId="23" w16cid:durableId="861820001">
    <w:abstractNumId w:val="22"/>
  </w:num>
  <w:num w:numId="24" w16cid:durableId="190148184">
    <w:abstractNumId w:val="9"/>
  </w:num>
  <w:num w:numId="25" w16cid:durableId="929267256">
    <w:abstractNumId w:val="23"/>
  </w:num>
  <w:num w:numId="26" w16cid:durableId="1199322227">
    <w:abstractNumId w:val="28"/>
  </w:num>
  <w:num w:numId="27" w16cid:durableId="651983855">
    <w:abstractNumId w:val="24"/>
  </w:num>
  <w:num w:numId="28" w16cid:durableId="217404852">
    <w:abstractNumId w:val="15"/>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5"/>
  </w:num>
  <w:num w:numId="32" w16cid:durableId="971715598">
    <w:abstractNumId w:val="15"/>
    <w:lvlOverride w:ilvl="0">
      <w:startOverride w:val="1"/>
    </w:lvlOverride>
  </w:num>
  <w:num w:numId="33" w16cid:durableId="962348367">
    <w:abstractNumId w:val="1"/>
  </w:num>
  <w:num w:numId="34" w16cid:durableId="770979186">
    <w:abstractNumId w:val="6"/>
  </w:num>
  <w:num w:numId="35" w16cid:durableId="471947903">
    <w:abstractNumId w:val="3"/>
  </w:num>
  <w:num w:numId="36" w16cid:durableId="947279794">
    <w:abstractNumId w:val="15"/>
  </w:num>
  <w:num w:numId="37" w16cid:durableId="184034252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18"/>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A04"/>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AF5"/>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1BF9"/>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8C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A0"/>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6621"/>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08"/>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4EE"/>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4928"/>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6CC"/>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6A69"/>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1D7B"/>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06F"/>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48"/>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35F"/>
    <w:rsid w:val="007314F4"/>
    <w:rsid w:val="0073154C"/>
    <w:rsid w:val="007318CA"/>
    <w:rsid w:val="00731F61"/>
    <w:rsid w:val="007320A0"/>
    <w:rsid w:val="00732366"/>
    <w:rsid w:val="00733747"/>
    <w:rsid w:val="0073378D"/>
    <w:rsid w:val="007337D7"/>
    <w:rsid w:val="00733ADE"/>
    <w:rsid w:val="00733C2C"/>
    <w:rsid w:val="00733C4B"/>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305"/>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85D"/>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154"/>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0C8"/>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59"/>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11A"/>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34"/>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AA3"/>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A7DD1"/>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1FBF"/>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2F06"/>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2A4"/>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910"/>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0A3"/>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5F2"/>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8BF"/>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3F9"/>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667"/>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CB2"/>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D39"/>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51E"/>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15EA"/>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1FC9"/>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0C8"/>
    <w:pPr>
      <w:spacing w:after="180" w:line="240" w:lineRule="auto"/>
      <w:jc w:val="both"/>
    </w:pPr>
    <w:rPr>
      <w:rFonts w:ascii="Times New Roman" w:eastAsia="맑은 고딕"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맑은 고딕"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맑은 고딕"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맑은 고딕"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맑은 고딕"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맑은 고딕"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맑은 고딕"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맑은 고딕"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맑은 고딕"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맑은 고딕"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맑은 고딕"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맑은 고딕"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맑은 고딕"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맑은 고딕"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맑은 고딕"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맑은 고딕"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맑은 고딕"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1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uiPriority w:val="22"/>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paragraph" w:customStyle="1" w:styleId="3GPPNormalText">
    <w:name w:val="3GPP Normal Text"/>
    <w:basedOn w:val="BodyText"/>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CC5AD7"/>
  </w:style>
  <w:style w:type="character" w:customStyle="1" w:styleId="BodyTextChar">
    <w:name w:val="Body Text Char"/>
    <w:basedOn w:val="DefaultParagraphFont"/>
    <w:link w:val="BodyText"/>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PlaceholderText">
    <w:name w:val="Placeholder Text"/>
    <w:basedOn w:val="DefaultParagraphFont"/>
    <w:uiPriority w:val="99"/>
    <w:semiHidden/>
    <w:rsid w:val="00EA06D3"/>
    <w:rPr>
      <w:color w:val="666666"/>
    </w:rPr>
  </w:style>
  <w:style w:type="paragraph" w:styleId="NormalWeb">
    <w:name w:val="Normal (Web)"/>
    <w:basedOn w:val="Normal"/>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EF509413-1924-4DC9-A774-A574D02496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1787</Words>
  <Characters>10869</Characters>
  <Application>Microsoft Office Word</Application>
  <DocSecurity>0</DocSecurity>
  <Lines>178</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2025-09-15T04:15:00Z</dcterms:created>
  <dcterms:modified xsi:type="dcterms:W3CDTF">2026-01-30T06:38:00Z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2025-11-24T09:12:23Z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11511b30-3960-4583-959c-d31901d0ce04</vt:lpwstr>
  </property>
</Properties>
</file>